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C055EB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0D3EF6" w:rsidRPr="000D3EF6">
        <w:rPr>
          <w:sz w:val="28"/>
          <w:szCs w:val="28"/>
        </w:rPr>
        <w:t>Об утверждении Положения о порядке реализации правотворческой инициативы граждан в Дербентском сельском поселении Тимашевского района</w:t>
      </w:r>
      <w:r w:rsidRPr="00351A17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0D3EF6" w:rsidRPr="000D3EF6">
        <w:t xml:space="preserve"> </w:t>
      </w:r>
      <w:r w:rsidR="000D3EF6" w:rsidRPr="000D3EF6">
        <w:rPr>
          <w:sz w:val="28"/>
          <w:szCs w:val="28"/>
        </w:rPr>
        <w:t>В соответствии с Федеральным законом от 5 октября 2003 г. №131-ФЗ «Об общих принципах организации местного самоуправления в Российской Федерации»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C11BA0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14.06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142</cp:revision>
  <cp:lastPrinted>2015-03-12T06:55:00Z</cp:lastPrinted>
  <dcterms:created xsi:type="dcterms:W3CDTF">2015-03-11T06:48:00Z</dcterms:created>
  <dcterms:modified xsi:type="dcterms:W3CDTF">2020-06-24T09:04:00Z</dcterms:modified>
</cp:coreProperties>
</file>